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6" w:rsidRPr="00155C32" w:rsidRDefault="00140DF6" w:rsidP="00140DF6">
      <w:pPr>
        <w:jc w:val="center"/>
        <w:rPr>
          <w:b/>
        </w:rPr>
      </w:pPr>
      <w:r w:rsidRPr="00155C32">
        <w:rPr>
          <w:b/>
        </w:rPr>
        <w:t xml:space="preserve">Аннотация к рабочей программе по предмету математика: </w:t>
      </w:r>
    </w:p>
    <w:p w:rsidR="00140DF6" w:rsidRPr="00155C32" w:rsidRDefault="00140DF6" w:rsidP="00140DF6">
      <w:pPr>
        <w:jc w:val="center"/>
        <w:rPr>
          <w:b/>
        </w:rPr>
      </w:pPr>
      <w:r>
        <w:rPr>
          <w:b/>
        </w:rPr>
        <w:t>Элективный курс по математике</w:t>
      </w:r>
      <w:r w:rsidR="001A71A8">
        <w:rPr>
          <w:b/>
        </w:rPr>
        <w:t xml:space="preserve"> </w:t>
      </w:r>
      <w:r w:rsidR="001A71A8" w:rsidRPr="00140DF6">
        <w:rPr>
          <w:b/>
          <w:szCs w:val="24"/>
        </w:rPr>
        <w:t>«Практикум по решению задач по математике»</w:t>
      </w:r>
      <w:r w:rsidR="001A71A8">
        <w:rPr>
          <w:b/>
          <w:szCs w:val="24"/>
        </w:rPr>
        <w:t>.</w:t>
      </w:r>
      <w:r w:rsidRPr="00155C32">
        <w:rPr>
          <w:b/>
        </w:rPr>
        <w:t xml:space="preserve"> </w:t>
      </w:r>
    </w:p>
    <w:p w:rsidR="00140DF6" w:rsidRPr="00155C32" w:rsidRDefault="00140DF6" w:rsidP="00140DF6">
      <w:pPr>
        <w:jc w:val="center"/>
        <w:rPr>
          <w:b/>
        </w:rPr>
      </w:pPr>
      <w:r w:rsidRPr="00155C32">
        <w:rPr>
          <w:b/>
        </w:rPr>
        <w:t xml:space="preserve">11 класс </w:t>
      </w:r>
    </w:p>
    <w:p w:rsidR="00140DF6" w:rsidRDefault="00140DF6" w:rsidP="00140DF6">
      <w:pPr>
        <w:contextualSpacing/>
        <w:jc w:val="center"/>
        <w:rPr>
          <w:b/>
        </w:rPr>
      </w:pPr>
      <w:r w:rsidRPr="00155C32">
        <w:rPr>
          <w:b/>
        </w:rPr>
        <w:t>ФГОС СОО</w:t>
      </w:r>
    </w:p>
    <w:p w:rsidR="00140DF6" w:rsidRDefault="00140DF6" w:rsidP="00140DF6">
      <w:pPr>
        <w:spacing w:before="3"/>
        <w:ind w:left="2222" w:right="1945"/>
        <w:jc w:val="center"/>
        <w:rPr>
          <w:b/>
        </w:rPr>
      </w:pPr>
      <w:r>
        <w:rPr>
          <w:b/>
        </w:rPr>
        <w:t>2023-2024</w:t>
      </w:r>
      <w:r>
        <w:rPr>
          <w:b/>
          <w:spacing w:val="5"/>
        </w:rPr>
        <w:t xml:space="preserve"> </w:t>
      </w:r>
      <w:r>
        <w:rPr>
          <w:b/>
        </w:rPr>
        <w:t>учебный год</w:t>
      </w:r>
    </w:p>
    <w:p w:rsidR="00140DF6" w:rsidRPr="00155C32" w:rsidRDefault="00140DF6" w:rsidP="00140DF6">
      <w:pPr>
        <w:contextualSpacing/>
        <w:jc w:val="center"/>
        <w:rPr>
          <w:b/>
        </w:rPr>
      </w:pPr>
    </w:p>
    <w:p w:rsidR="00140DF6" w:rsidRPr="00140DF6" w:rsidRDefault="00140DF6" w:rsidP="00140DF6">
      <w:pPr>
        <w:spacing w:line="396" w:lineRule="auto"/>
        <w:ind w:left="-15" w:firstLine="708"/>
        <w:rPr>
          <w:szCs w:val="24"/>
        </w:rPr>
      </w:pPr>
      <w:r w:rsidRPr="00140DF6">
        <w:rPr>
          <w:szCs w:val="24"/>
        </w:rPr>
        <w:t xml:space="preserve">Рабочая программа элективного курса составлена на основании  следующих нормативно-правовых документов: </w:t>
      </w:r>
    </w:p>
    <w:p w:rsidR="00140DF6" w:rsidRPr="00140DF6" w:rsidRDefault="00140DF6" w:rsidP="00140DF6">
      <w:pPr>
        <w:numPr>
          <w:ilvl w:val="0"/>
          <w:numId w:val="1"/>
        </w:numPr>
        <w:rPr>
          <w:szCs w:val="24"/>
        </w:rPr>
      </w:pPr>
      <w:r w:rsidRPr="00140DF6">
        <w:rPr>
          <w:szCs w:val="24"/>
        </w:rPr>
        <w:t xml:space="preserve">федерального </w:t>
      </w:r>
      <w:r w:rsidRPr="00140DF6">
        <w:rPr>
          <w:szCs w:val="24"/>
        </w:rPr>
        <w:tab/>
        <w:t xml:space="preserve">государственного </w:t>
      </w:r>
      <w:r w:rsidRPr="00140DF6">
        <w:rPr>
          <w:szCs w:val="24"/>
        </w:rPr>
        <w:tab/>
        <w:t xml:space="preserve">образовательного </w:t>
      </w:r>
      <w:r w:rsidRPr="00140DF6">
        <w:rPr>
          <w:szCs w:val="24"/>
        </w:rPr>
        <w:tab/>
        <w:t xml:space="preserve">стандарта </w:t>
      </w:r>
      <w:r w:rsidRPr="00140DF6">
        <w:rPr>
          <w:szCs w:val="24"/>
        </w:rPr>
        <w:tab/>
        <w:t xml:space="preserve">среднего </w:t>
      </w:r>
      <w:r w:rsidRPr="00140DF6">
        <w:rPr>
          <w:szCs w:val="24"/>
        </w:rPr>
        <w:tab/>
        <w:t xml:space="preserve">общего образования,  </w:t>
      </w:r>
    </w:p>
    <w:p w:rsidR="00140DF6" w:rsidRPr="00140DF6" w:rsidRDefault="00140DF6" w:rsidP="00140DF6">
      <w:pPr>
        <w:numPr>
          <w:ilvl w:val="0"/>
          <w:numId w:val="1"/>
        </w:numPr>
        <w:rPr>
          <w:szCs w:val="24"/>
        </w:rPr>
      </w:pPr>
      <w:r w:rsidRPr="00140DF6">
        <w:rPr>
          <w:szCs w:val="24"/>
        </w:rPr>
        <w:t xml:space="preserve">примерной программы по математике среднего общего образования и авторской программы - Программы общеобразовательных учреждений. Алгебра и начала анализа. 10-11 классы./ Составитель Бурмистрова Т.А. </w:t>
      </w:r>
    </w:p>
    <w:p w:rsidR="00140DF6" w:rsidRPr="00140DF6" w:rsidRDefault="00140DF6" w:rsidP="00140DF6">
      <w:pPr>
        <w:ind w:left="-15" w:firstLine="0"/>
        <w:rPr>
          <w:szCs w:val="24"/>
        </w:rPr>
      </w:pPr>
      <w:r w:rsidRPr="00140DF6">
        <w:rPr>
          <w:szCs w:val="24"/>
        </w:rPr>
        <w:t xml:space="preserve">Атанасян Л.С. Программы для общеобразовательных учреждений по геометрии для 10-11 </w:t>
      </w:r>
      <w:proofErr w:type="spellStart"/>
      <w:r w:rsidRPr="00140DF6">
        <w:rPr>
          <w:szCs w:val="24"/>
        </w:rPr>
        <w:t>кл</w:t>
      </w:r>
      <w:proofErr w:type="spellEnd"/>
      <w:r w:rsidRPr="00140DF6">
        <w:rPr>
          <w:szCs w:val="24"/>
        </w:rPr>
        <w:t xml:space="preserve">.  </w:t>
      </w:r>
    </w:p>
    <w:p w:rsidR="00140DF6" w:rsidRPr="00140DF6" w:rsidRDefault="00140DF6" w:rsidP="00140DF6">
      <w:pPr>
        <w:ind w:left="-15" w:firstLine="708"/>
        <w:rPr>
          <w:szCs w:val="24"/>
        </w:rPr>
      </w:pPr>
      <w:r w:rsidRPr="00140DF6">
        <w:rPr>
          <w:szCs w:val="24"/>
        </w:rPr>
        <w:t xml:space="preserve"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 </w:t>
      </w:r>
    </w:p>
    <w:p w:rsidR="00140DF6" w:rsidRPr="00140DF6" w:rsidRDefault="00140DF6" w:rsidP="00140DF6">
      <w:pPr>
        <w:ind w:left="-15" w:firstLine="283"/>
        <w:rPr>
          <w:szCs w:val="24"/>
        </w:rPr>
      </w:pPr>
      <w:r w:rsidRPr="00140DF6">
        <w:rPr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 </w:t>
      </w:r>
    </w:p>
    <w:p w:rsidR="00140DF6" w:rsidRPr="00140DF6" w:rsidRDefault="00140DF6" w:rsidP="00140DF6">
      <w:pPr>
        <w:ind w:left="-15" w:firstLine="283"/>
        <w:rPr>
          <w:szCs w:val="24"/>
        </w:rPr>
      </w:pPr>
      <w:r w:rsidRPr="00140DF6">
        <w:rPr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 </w:t>
      </w:r>
    </w:p>
    <w:p w:rsidR="00140DF6" w:rsidRPr="00140DF6" w:rsidRDefault="00140DF6" w:rsidP="00140DF6">
      <w:pPr>
        <w:ind w:left="-15" w:firstLine="283"/>
        <w:rPr>
          <w:szCs w:val="24"/>
        </w:rPr>
      </w:pPr>
      <w:r w:rsidRPr="00140DF6">
        <w:rPr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140DF6">
        <w:rPr>
          <w:szCs w:val="24"/>
        </w:rPr>
        <w:t>обучающихся</w:t>
      </w:r>
      <w:proofErr w:type="gramEnd"/>
      <w:r w:rsidRPr="00140DF6">
        <w:rPr>
          <w:szCs w:val="24"/>
        </w:rPr>
        <w:t xml:space="preserve"> в соответствии с их запросами к уровню подготовки в сфере математического образования». </w:t>
      </w:r>
    </w:p>
    <w:p w:rsidR="00140DF6" w:rsidRPr="00140DF6" w:rsidRDefault="00140DF6" w:rsidP="00140DF6">
      <w:pPr>
        <w:ind w:left="-15" w:firstLine="708"/>
        <w:rPr>
          <w:szCs w:val="24"/>
        </w:rPr>
      </w:pPr>
      <w:r w:rsidRPr="00140DF6">
        <w:rPr>
          <w:szCs w:val="24"/>
        </w:rPr>
        <w:t xml:space="preserve">Соответственно, выделяются три направления требований к результатам математического образования:  </w:t>
      </w:r>
    </w:p>
    <w:p w:rsidR="00140DF6" w:rsidRPr="00140DF6" w:rsidRDefault="00140DF6" w:rsidP="00140DF6">
      <w:pPr>
        <w:numPr>
          <w:ilvl w:val="0"/>
          <w:numId w:val="2"/>
        </w:numPr>
        <w:ind w:hanging="360"/>
        <w:rPr>
          <w:szCs w:val="24"/>
        </w:rPr>
      </w:pPr>
      <w:r w:rsidRPr="00140DF6">
        <w:rPr>
          <w:szCs w:val="24"/>
        </w:rPr>
        <w:t xml:space="preserve">практико-ориентированное математическое образование (математика для жизни); </w:t>
      </w:r>
    </w:p>
    <w:p w:rsidR="00140DF6" w:rsidRPr="00140DF6" w:rsidRDefault="00140DF6" w:rsidP="00140DF6">
      <w:pPr>
        <w:numPr>
          <w:ilvl w:val="0"/>
          <w:numId w:val="2"/>
        </w:numPr>
        <w:ind w:hanging="360"/>
        <w:rPr>
          <w:szCs w:val="24"/>
        </w:rPr>
      </w:pPr>
      <w:r w:rsidRPr="00140DF6">
        <w:rPr>
          <w:szCs w:val="24"/>
        </w:rPr>
        <w:t xml:space="preserve">математика для использования в профессии; </w:t>
      </w:r>
    </w:p>
    <w:p w:rsidR="00140DF6" w:rsidRPr="00140DF6" w:rsidRDefault="00140DF6" w:rsidP="00140DF6">
      <w:pPr>
        <w:numPr>
          <w:ilvl w:val="0"/>
          <w:numId w:val="2"/>
        </w:numPr>
        <w:ind w:hanging="360"/>
        <w:rPr>
          <w:szCs w:val="24"/>
        </w:rPr>
      </w:pPr>
      <w:r w:rsidRPr="00140DF6">
        <w:rPr>
          <w:szCs w:val="24"/>
        </w:rPr>
        <w:t xml:space="preserve"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 </w:t>
      </w:r>
    </w:p>
    <w:p w:rsidR="00140DF6" w:rsidRPr="00140DF6" w:rsidRDefault="00140DF6" w:rsidP="00140DF6">
      <w:pPr>
        <w:ind w:left="-15" w:firstLine="708"/>
        <w:rPr>
          <w:szCs w:val="24"/>
        </w:rPr>
      </w:pPr>
      <w:r w:rsidRPr="00140DF6">
        <w:rPr>
          <w:szCs w:val="24"/>
        </w:rPr>
        <w:t xml:space="preserve">Эти направления реализуются в двух блоках требований к результатам математического образования.  </w:t>
      </w:r>
    </w:p>
    <w:p w:rsidR="00140DF6" w:rsidRPr="00140DF6" w:rsidRDefault="00140DF6" w:rsidP="00140DF6">
      <w:pPr>
        <w:ind w:left="-15" w:firstLine="708"/>
        <w:rPr>
          <w:szCs w:val="24"/>
        </w:rPr>
      </w:pPr>
      <w:r w:rsidRPr="00140DF6">
        <w:rPr>
          <w:szCs w:val="24"/>
        </w:rPr>
        <w:t>Элективный курс «Практикум решения зада</w:t>
      </w:r>
      <w:r>
        <w:rPr>
          <w:szCs w:val="24"/>
        </w:rPr>
        <w:t>ч по математике» рассчитан на 34 часа для учащихся 11</w:t>
      </w:r>
      <w:r w:rsidRPr="00140DF6">
        <w:rPr>
          <w:szCs w:val="24"/>
        </w:rPr>
        <w:t xml:space="preserve"> классов. Данная программа курса сможет привлечь внимание учащихся, которым интересна математика, кому она понадобится при учебе, подготовке к экзаменам, в частности, к ЕГЭ. Слушателями этого курса могут быть учащиеся различного профиля обучения. </w:t>
      </w:r>
    </w:p>
    <w:p w:rsidR="00140DF6" w:rsidRPr="00140DF6" w:rsidRDefault="00140DF6" w:rsidP="00140DF6">
      <w:pPr>
        <w:spacing w:after="172"/>
        <w:ind w:left="-15" w:firstLine="708"/>
        <w:rPr>
          <w:szCs w:val="24"/>
        </w:rPr>
      </w:pPr>
      <w:r w:rsidRPr="00140DF6">
        <w:rPr>
          <w:szCs w:val="24"/>
        </w:rPr>
        <w:t xml:space="preserve">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ЕГЭ и централизованного тестирования. </w:t>
      </w:r>
    </w:p>
    <w:p w:rsidR="00140DF6" w:rsidRPr="00140DF6" w:rsidRDefault="00140DF6" w:rsidP="00140DF6">
      <w:pPr>
        <w:spacing w:after="168" w:line="256" w:lineRule="auto"/>
        <w:ind w:left="355" w:right="265" w:hanging="10"/>
        <w:jc w:val="left"/>
        <w:rPr>
          <w:szCs w:val="24"/>
        </w:rPr>
      </w:pPr>
      <w:r w:rsidRPr="00140DF6">
        <w:rPr>
          <w:b/>
          <w:szCs w:val="24"/>
        </w:rPr>
        <w:t>Цели курса:</w:t>
      </w:r>
      <w:r w:rsidRPr="00140DF6">
        <w:rPr>
          <w:szCs w:val="24"/>
        </w:rPr>
        <w:t xml:space="preserve"> </w:t>
      </w:r>
    </w:p>
    <w:p w:rsidR="00140DF6" w:rsidRPr="00140DF6" w:rsidRDefault="00140DF6" w:rsidP="00140DF6">
      <w:pPr>
        <w:numPr>
          <w:ilvl w:val="0"/>
          <w:numId w:val="3"/>
        </w:numPr>
        <w:ind w:hanging="360"/>
        <w:rPr>
          <w:szCs w:val="24"/>
        </w:rPr>
      </w:pPr>
      <w:r w:rsidRPr="00140DF6">
        <w:rPr>
          <w:szCs w:val="24"/>
        </w:rPr>
        <w:lastRenderedPageBreak/>
        <w:t xml:space="preserve">На основе коррекции базовых математических знаний учащихся за курс 5 – 11 классов совершенствовать математическую культуру и творческие способности учащихся. Расширение и углубление знаний, полученных при изучении курса алгебры; </w:t>
      </w:r>
    </w:p>
    <w:p w:rsidR="00140DF6" w:rsidRPr="00140DF6" w:rsidRDefault="00140DF6" w:rsidP="00140DF6">
      <w:pPr>
        <w:numPr>
          <w:ilvl w:val="0"/>
          <w:numId w:val="3"/>
        </w:numPr>
        <w:spacing w:after="132"/>
        <w:ind w:hanging="360"/>
        <w:rPr>
          <w:szCs w:val="24"/>
        </w:rPr>
      </w:pPr>
      <w:r w:rsidRPr="00140DF6">
        <w:rPr>
          <w:szCs w:val="24"/>
        </w:rPr>
        <w:t xml:space="preserve">закрепление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дисциплинах; </w:t>
      </w:r>
    </w:p>
    <w:p w:rsidR="00140DF6" w:rsidRPr="00140DF6" w:rsidRDefault="00140DF6" w:rsidP="00140DF6">
      <w:pPr>
        <w:numPr>
          <w:ilvl w:val="0"/>
          <w:numId w:val="3"/>
        </w:numPr>
        <w:spacing w:after="170"/>
        <w:ind w:hanging="360"/>
        <w:rPr>
          <w:szCs w:val="24"/>
        </w:rPr>
      </w:pPr>
      <w:r w:rsidRPr="00140DF6">
        <w:rPr>
          <w:szCs w:val="24"/>
        </w:rPr>
        <w:t xml:space="preserve">создание условий для формирования и развития у обучающихся навыков анализа и систематизации, полученных ранее знаний; подготовка к итоговой аттестации в форме ЕГЭ. </w:t>
      </w:r>
    </w:p>
    <w:p w:rsidR="00140DF6" w:rsidRPr="00140DF6" w:rsidRDefault="00140DF6" w:rsidP="00140DF6">
      <w:pPr>
        <w:spacing w:after="136" w:line="256" w:lineRule="auto"/>
        <w:ind w:left="355" w:right="265" w:hanging="10"/>
        <w:jc w:val="left"/>
        <w:rPr>
          <w:szCs w:val="24"/>
        </w:rPr>
      </w:pPr>
      <w:r w:rsidRPr="00140DF6">
        <w:rPr>
          <w:b/>
          <w:szCs w:val="24"/>
        </w:rPr>
        <w:t>Задачи курса:</w:t>
      </w:r>
      <w:r w:rsidRPr="00140DF6">
        <w:rPr>
          <w:szCs w:val="24"/>
        </w:rPr>
        <w:t xml:space="preserve"> </w:t>
      </w:r>
    </w:p>
    <w:p w:rsidR="00140DF6" w:rsidRPr="00140DF6" w:rsidRDefault="00140DF6" w:rsidP="00140DF6">
      <w:pPr>
        <w:numPr>
          <w:ilvl w:val="0"/>
          <w:numId w:val="3"/>
        </w:numPr>
        <w:spacing w:after="163"/>
        <w:ind w:hanging="360"/>
        <w:rPr>
          <w:szCs w:val="24"/>
        </w:rPr>
      </w:pPr>
      <w:r w:rsidRPr="00140DF6">
        <w:rPr>
          <w:szCs w:val="24"/>
        </w:rPr>
        <w:t xml:space="preserve">Реализация индивидуализации обучения; удовлетворение образовательных потребностей школьников по алгебре. Формирование устойчивого интереса учащихся к предмету; </w:t>
      </w:r>
    </w:p>
    <w:p w:rsidR="00140DF6" w:rsidRPr="00140DF6" w:rsidRDefault="00140DF6" w:rsidP="00140DF6">
      <w:pPr>
        <w:numPr>
          <w:ilvl w:val="0"/>
          <w:numId w:val="3"/>
        </w:numPr>
        <w:spacing w:after="165"/>
        <w:ind w:hanging="360"/>
        <w:rPr>
          <w:szCs w:val="24"/>
        </w:rPr>
      </w:pPr>
      <w:r w:rsidRPr="00140DF6">
        <w:rPr>
          <w:szCs w:val="24"/>
        </w:rPr>
        <w:t xml:space="preserve">выявление и развитие их математических способностей; </w:t>
      </w:r>
    </w:p>
    <w:p w:rsidR="00140DF6" w:rsidRPr="00140DF6" w:rsidRDefault="00140DF6" w:rsidP="00140DF6">
      <w:pPr>
        <w:numPr>
          <w:ilvl w:val="0"/>
          <w:numId w:val="3"/>
        </w:numPr>
        <w:spacing w:after="130"/>
        <w:ind w:hanging="360"/>
        <w:rPr>
          <w:szCs w:val="24"/>
        </w:rPr>
      </w:pPr>
      <w:r w:rsidRPr="00140DF6">
        <w:rPr>
          <w:szCs w:val="24"/>
        </w:rPr>
        <w:t xml:space="preserve">подготовка к обучению в ВУЗе; </w:t>
      </w:r>
    </w:p>
    <w:p w:rsidR="00140DF6" w:rsidRPr="00140DF6" w:rsidRDefault="00140DF6" w:rsidP="00140DF6">
      <w:pPr>
        <w:numPr>
          <w:ilvl w:val="0"/>
          <w:numId w:val="3"/>
        </w:numPr>
        <w:spacing w:after="165"/>
        <w:ind w:hanging="360"/>
        <w:rPr>
          <w:szCs w:val="24"/>
        </w:rPr>
      </w:pPr>
      <w:r w:rsidRPr="00140DF6">
        <w:rPr>
          <w:szCs w:val="24"/>
        </w:rPr>
        <w:t xml:space="preserve">обеспечение усвоения </w:t>
      </w:r>
      <w:proofErr w:type="gramStart"/>
      <w:r w:rsidRPr="00140DF6">
        <w:rPr>
          <w:szCs w:val="24"/>
        </w:rPr>
        <w:t>обучающимися</w:t>
      </w:r>
      <w:proofErr w:type="gramEnd"/>
      <w:r w:rsidRPr="00140DF6">
        <w:rPr>
          <w:szCs w:val="24"/>
        </w:rPr>
        <w:t xml:space="preserve"> наиболее общих приемов и способов решения задач. Развитие умений самостоятельно анализировать и решать задачи по образцу и в незнакомой ситуации; </w:t>
      </w:r>
    </w:p>
    <w:p w:rsidR="00140DF6" w:rsidRPr="00140DF6" w:rsidRDefault="00140DF6" w:rsidP="00140DF6">
      <w:pPr>
        <w:numPr>
          <w:ilvl w:val="0"/>
          <w:numId w:val="3"/>
        </w:numPr>
        <w:spacing w:after="130"/>
        <w:ind w:hanging="360"/>
        <w:rPr>
          <w:szCs w:val="24"/>
        </w:rPr>
      </w:pPr>
      <w:r w:rsidRPr="00140DF6">
        <w:rPr>
          <w:szCs w:val="24"/>
        </w:rPr>
        <w:t xml:space="preserve">формирование и развитие аналитического и логического мышления; </w:t>
      </w:r>
    </w:p>
    <w:p w:rsidR="00140DF6" w:rsidRPr="00140DF6" w:rsidRDefault="00140DF6" w:rsidP="00140DF6">
      <w:pPr>
        <w:numPr>
          <w:ilvl w:val="0"/>
          <w:numId w:val="3"/>
        </w:numPr>
        <w:spacing w:after="132"/>
        <w:ind w:hanging="360"/>
        <w:rPr>
          <w:szCs w:val="24"/>
        </w:rPr>
      </w:pPr>
      <w:r w:rsidRPr="00140DF6">
        <w:rPr>
          <w:szCs w:val="24"/>
        </w:rPr>
        <w:t xml:space="preserve"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заведений; </w:t>
      </w:r>
    </w:p>
    <w:p w:rsidR="00140DF6" w:rsidRPr="00140DF6" w:rsidRDefault="00140DF6" w:rsidP="00140DF6">
      <w:pPr>
        <w:numPr>
          <w:ilvl w:val="0"/>
          <w:numId w:val="3"/>
        </w:numPr>
        <w:spacing w:after="113"/>
        <w:ind w:hanging="360"/>
        <w:rPr>
          <w:szCs w:val="24"/>
        </w:rPr>
      </w:pPr>
      <w:r w:rsidRPr="00140DF6">
        <w:rPr>
          <w:szCs w:val="24"/>
        </w:rPr>
        <w:t xml:space="preserve">развитие коммуникативных и </w:t>
      </w:r>
      <w:proofErr w:type="spellStart"/>
      <w:r w:rsidRPr="00140DF6">
        <w:rPr>
          <w:szCs w:val="24"/>
        </w:rPr>
        <w:t>общеучебных</w:t>
      </w:r>
      <w:proofErr w:type="spellEnd"/>
      <w:r w:rsidRPr="00140DF6">
        <w:rPr>
          <w:szCs w:val="24"/>
        </w:rPr>
        <w:t xml:space="preserve"> навыков работы в группе, самостоятельной работы, умений вести дискуссию, аргументировать ответы и т.д. </w:t>
      </w:r>
    </w:p>
    <w:p w:rsidR="00140DF6" w:rsidRPr="00140DF6" w:rsidRDefault="00140DF6" w:rsidP="00140DF6">
      <w:pPr>
        <w:spacing w:after="185" w:line="256" w:lineRule="auto"/>
        <w:ind w:left="0" w:firstLine="0"/>
        <w:jc w:val="left"/>
        <w:rPr>
          <w:szCs w:val="24"/>
        </w:rPr>
      </w:pPr>
      <w:r w:rsidRPr="00140DF6">
        <w:rPr>
          <w:szCs w:val="24"/>
        </w:rPr>
        <w:t xml:space="preserve"> </w:t>
      </w:r>
    </w:p>
    <w:p w:rsidR="00140DF6" w:rsidRDefault="00140DF6" w:rsidP="00140DF6">
      <w:pPr>
        <w:spacing w:after="0" w:line="256" w:lineRule="auto"/>
        <w:ind w:left="345" w:right="265" w:firstLine="1094"/>
        <w:jc w:val="left"/>
        <w:rPr>
          <w:b/>
          <w:szCs w:val="24"/>
        </w:rPr>
      </w:pPr>
      <w:r w:rsidRPr="00140DF6">
        <w:rPr>
          <w:b/>
          <w:szCs w:val="24"/>
        </w:rPr>
        <w:t xml:space="preserve">В соответствии с учебным планом на изучение элективного курса </w:t>
      </w:r>
      <w:r>
        <w:rPr>
          <w:b/>
          <w:szCs w:val="24"/>
        </w:rPr>
        <w:t xml:space="preserve">   </w:t>
      </w:r>
    </w:p>
    <w:p w:rsidR="00140DF6" w:rsidRPr="00140DF6" w:rsidRDefault="00140DF6" w:rsidP="00140DF6">
      <w:pPr>
        <w:spacing w:after="0" w:line="256" w:lineRule="auto"/>
        <w:ind w:left="345" w:right="265" w:firstLine="1094"/>
        <w:jc w:val="left"/>
        <w:rPr>
          <w:szCs w:val="24"/>
        </w:rPr>
      </w:pPr>
      <w:r>
        <w:rPr>
          <w:b/>
          <w:szCs w:val="24"/>
        </w:rPr>
        <w:t xml:space="preserve">     </w:t>
      </w:r>
      <w:r w:rsidRPr="00140DF6">
        <w:rPr>
          <w:b/>
          <w:szCs w:val="24"/>
        </w:rPr>
        <w:t xml:space="preserve">«Практикум по решению задач по математике» отводится: </w:t>
      </w:r>
    </w:p>
    <w:tbl>
      <w:tblPr>
        <w:tblStyle w:val="TableGrid"/>
        <w:tblW w:w="9775" w:type="dxa"/>
        <w:tblInd w:w="-209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1884"/>
        <w:gridCol w:w="3543"/>
        <w:gridCol w:w="4348"/>
      </w:tblGrid>
      <w:tr w:rsidR="00140DF6" w:rsidRPr="00140DF6" w:rsidTr="00140DF6">
        <w:trPr>
          <w:trHeight w:val="283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253" w:firstLine="0"/>
              <w:jc w:val="center"/>
              <w:rPr>
                <w:sz w:val="24"/>
                <w:szCs w:val="24"/>
              </w:rPr>
            </w:pPr>
            <w:r w:rsidRPr="00140DF6">
              <w:rPr>
                <w:b/>
                <w:sz w:val="24"/>
                <w:szCs w:val="24"/>
              </w:rPr>
              <w:t>Класс</w:t>
            </w:r>
            <w:r w:rsidRPr="00140D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711" w:firstLine="0"/>
              <w:jc w:val="left"/>
              <w:rPr>
                <w:sz w:val="24"/>
                <w:szCs w:val="24"/>
              </w:rPr>
            </w:pPr>
            <w:r w:rsidRPr="00140DF6">
              <w:rPr>
                <w:b/>
                <w:sz w:val="24"/>
                <w:szCs w:val="24"/>
              </w:rPr>
              <w:t>Кол-во часов в неделю</w:t>
            </w:r>
            <w:r w:rsidRPr="00140D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914" w:firstLine="0"/>
              <w:jc w:val="left"/>
              <w:rPr>
                <w:sz w:val="24"/>
                <w:szCs w:val="24"/>
              </w:rPr>
            </w:pPr>
            <w:r w:rsidRPr="00140DF6">
              <w:rPr>
                <w:b/>
                <w:sz w:val="24"/>
                <w:szCs w:val="24"/>
              </w:rPr>
              <w:t>Общее кол-во часов за год</w:t>
            </w:r>
            <w:r w:rsidRPr="00140DF6">
              <w:rPr>
                <w:sz w:val="24"/>
                <w:szCs w:val="24"/>
              </w:rPr>
              <w:t xml:space="preserve"> </w:t>
            </w:r>
          </w:p>
        </w:tc>
      </w:tr>
      <w:tr w:rsidR="00140DF6" w:rsidRPr="00140DF6" w:rsidTr="00140DF6">
        <w:trPr>
          <w:trHeight w:val="135"/>
        </w:trPr>
        <w:tc>
          <w:tcPr>
            <w:tcW w:w="9775" w:type="dxa"/>
            <w:gridSpan w:val="3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DF6" w:rsidRPr="00140DF6" w:rsidTr="00140DF6">
        <w:trPr>
          <w:trHeight w:val="150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40DF6" w:rsidRPr="00140DF6" w:rsidTr="00140DF6">
        <w:trPr>
          <w:trHeight w:val="283"/>
        </w:trPr>
        <w:tc>
          <w:tcPr>
            <w:tcW w:w="188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140DF6">
              <w:rPr>
                <w:sz w:val="24"/>
                <w:szCs w:val="24"/>
              </w:rPr>
              <w:t>(</w:t>
            </w:r>
            <w:proofErr w:type="spellStart"/>
            <w:r w:rsidRPr="00140DF6">
              <w:rPr>
                <w:sz w:val="24"/>
                <w:szCs w:val="24"/>
              </w:rPr>
              <w:t>универ</w:t>
            </w:r>
            <w:proofErr w:type="spellEnd"/>
            <w:r w:rsidRPr="00140DF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354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5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0D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40DF6" w:rsidRPr="00140DF6" w:rsidTr="00140DF6">
        <w:trPr>
          <w:trHeight w:val="284"/>
        </w:trPr>
        <w:tc>
          <w:tcPr>
            <w:tcW w:w="188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5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0DF6" w:rsidRPr="00140DF6" w:rsidRDefault="00140DF6">
            <w:pPr>
              <w:spacing w:after="0" w:line="256" w:lineRule="auto"/>
              <w:ind w:left="5" w:firstLine="0"/>
              <w:jc w:val="center"/>
              <w:rPr>
                <w:sz w:val="24"/>
                <w:szCs w:val="24"/>
              </w:rPr>
            </w:pPr>
          </w:p>
        </w:tc>
      </w:tr>
    </w:tbl>
    <w:p w:rsidR="00140DF6" w:rsidRPr="00140DF6" w:rsidRDefault="00140DF6" w:rsidP="00140DF6">
      <w:pPr>
        <w:spacing w:after="16" w:line="256" w:lineRule="auto"/>
        <w:ind w:left="0" w:firstLine="0"/>
        <w:jc w:val="left"/>
        <w:rPr>
          <w:szCs w:val="24"/>
        </w:rPr>
      </w:pPr>
      <w:r w:rsidRPr="00140DF6">
        <w:rPr>
          <w:b/>
          <w:szCs w:val="24"/>
        </w:rPr>
        <w:t xml:space="preserve"> </w:t>
      </w:r>
    </w:p>
    <w:p w:rsidR="000A0401" w:rsidRPr="00140DF6" w:rsidRDefault="000A0401" w:rsidP="00140DF6">
      <w:pPr>
        <w:rPr>
          <w:szCs w:val="24"/>
        </w:rPr>
      </w:pPr>
    </w:p>
    <w:sectPr w:rsidR="000A0401" w:rsidRPr="00140DF6" w:rsidSect="00140DF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65"/>
    <w:multiLevelType w:val="hybridMultilevel"/>
    <w:tmpl w:val="2D347484"/>
    <w:lvl w:ilvl="0" w:tplc="58AC4B4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A70F46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174AD1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4CAD6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79049E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26009B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086840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3A0538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E6494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3907394"/>
    <w:multiLevelType w:val="hybridMultilevel"/>
    <w:tmpl w:val="814E15A6"/>
    <w:lvl w:ilvl="0" w:tplc="FA2AC38A">
      <w:start w:val="2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6A759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2A415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5AD42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1A510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5CB06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F6366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A24BE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7C21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3513E3D"/>
    <w:multiLevelType w:val="hybridMultilevel"/>
    <w:tmpl w:val="BFD61BE4"/>
    <w:lvl w:ilvl="0" w:tplc="51AC82A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FA0A6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4A282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527A3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8A7FF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6A2A8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10814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585EB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8C275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5A768EC"/>
    <w:multiLevelType w:val="hybridMultilevel"/>
    <w:tmpl w:val="DE4484E2"/>
    <w:lvl w:ilvl="0" w:tplc="798670F8">
      <w:start w:val="1"/>
      <w:numFmt w:val="decimal"/>
      <w:lvlText w:val="%1)"/>
      <w:lvlJc w:val="left"/>
      <w:pPr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A2ADDA">
      <w:start w:val="1"/>
      <w:numFmt w:val="lowerLetter"/>
      <w:lvlText w:val="%2"/>
      <w:lvlJc w:val="left"/>
      <w:pPr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34EC62">
      <w:start w:val="1"/>
      <w:numFmt w:val="lowerRoman"/>
      <w:lvlText w:val="%3"/>
      <w:lvlJc w:val="left"/>
      <w:pPr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6E1B92">
      <w:start w:val="1"/>
      <w:numFmt w:val="decimal"/>
      <w:lvlText w:val="%4"/>
      <w:lvlJc w:val="left"/>
      <w:pPr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7E2353E">
      <w:start w:val="1"/>
      <w:numFmt w:val="lowerLetter"/>
      <w:lvlText w:val="%5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A66546">
      <w:start w:val="1"/>
      <w:numFmt w:val="lowerRoman"/>
      <w:lvlText w:val="%6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0466B0">
      <w:start w:val="1"/>
      <w:numFmt w:val="decimal"/>
      <w:lvlText w:val="%7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427874">
      <w:start w:val="1"/>
      <w:numFmt w:val="lowerLetter"/>
      <w:lvlText w:val="%8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D6000C">
      <w:start w:val="1"/>
      <w:numFmt w:val="lowerRoman"/>
      <w:lvlText w:val="%9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B05517F"/>
    <w:multiLevelType w:val="hybridMultilevel"/>
    <w:tmpl w:val="6374AE22"/>
    <w:lvl w:ilvl="0" w:tplc="F9385E20">
      <w:start w:val="6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3AB55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904D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53A21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328A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CA5F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F09D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747F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642E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F6"/>
    <w:rsid w:val="000A0401"/>
    <w:rsid w:val="00140DF6"/>
    <w:rsid w:val="001A71A8"/>
    <w:rsid w:val="003B32EF"/>
    <w:rsid w:val="00497CA6"/>
    <w:rsid w:val="0054470A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6"/>
    <w:pPr>
      <w:spacing w:after="12" w:line="266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0D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2023-09-17T17:32:00Z</dcterms:created>
  <dcterms:modified xsi:type="dcterms:W3CDTF">2023-09-17T17:38:00Z</dcterms:modified>
</cp:coreProperties>
</file>